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eastAsia="方正小标宋简体" w:cs="Times New Roman"/>
          <w:color w:val="000000" w:themeColor="text1"/>
          <w:sz w:val="44"/>
          <w:szCs w:val="44"/>
        </w:rPr>
      </w:pPr>
      <w:r>
        <w:rPr>
          <w:rFonts w:hint="eastAsia" w:ascii="Times New Roman" w:hAnsi="Times New Roman" w:eastAsia="方正小标宋简体" w:cs="方正小标宋简体"/>
          <w:color w:val="000000" w:themeColor="text1"/>
          <w:sz w:val="44"/>
          <w:szCs w:val="44"/>
        </w:rPr>
        <w:t>晋江市市场监督管理局</w:t>
      </w:r>
    </w:p>
    <w:p>
      <w:pPr>
        <w:spacing w:line="640" w:lineRule="exact"/>
        <w:jc w:val="center"/>
        <w:rPr>
          <w:rFonts w:ascii="Times New Roman" w:hAnsi="Times New Roman" w:eastAsia="方正小标宋简体" w:cs="Times New Roman"/>
          <w:color w:val="000000" w:themeColor="text1"/>
          <w:sz w:val="44"/>
          <w:szCs w:val="44"/>
        </w:rPr>
      </w:pPr>
      <w:r>
        <w:rPr>
          <w:rFonts w:hint="eastAsia" w:ascii="Times New Roman" w:hAnsi="Times New Roman" w:eastAsia="方正小标宋简体" w:cs="方正小标宋简体"/>
          <w:color w:val="000000" w:themeColor="text1"/>
          <w:sz w:val="44"/>
          <w:szCs w:val="44"/>
        </w:rPr>
        <w:t>行政处罚决定书</w:t>
      </w:r>
    </w:p>
    <w:p>
      <w:pPr>
        <w:wordWrap w:val="0"/>
        <w:snapToGrid w:val="0"/>
        <w:spacing w:beforeLines="100" w:afterLines="100" w:line="320" w:lineRule="exact"/>
        <w:jc w:val="center"/>
        <w:rPr>
          <w:rFonts w:ascii="仿宋_GB2312" w:hAnsi="Times New Roman" w:eastAsia="仿宋_GB2312" w:cs="仿宋_GB2312"/>
          <w:color w:val="000000" w:themeColor="text1"/>
          <w:sz w:val="32"/>
          <w:szCs w:val="32"/>
        </w:rPr>
      </w:pPr>
      <w:r>
        <w:rPr>
          <w:color w:val="000000" w:themeColor="text1"/>
        </w:rPr>
        <w:pict>
          <v:shape id="_x0000_s1026" o:spid="_x0000_s1026"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color w:val="000000" w:themeColor="text1"/>
          <w:sz w:val="32"/>
          <w:szCs w:val="32"/>
        </w:rPr>
        <w:t>晋市监处罚[</w:t>
      </w:r>
      <w:r>
        <w:rPr>
          <w:rFonts w:ascii="仿宋_GB2312" w:hAnsi="Times New Roman" w:eastAsia="仿宋_GB2312" w:cs="仿宋_GB2312"/>
          <w:color w:val="000000" w:themeColor="text1"/>
          <w:sz w:val="32"/>
          <w:szCs w:val="32"/>
        </w:rPr>
        <w:t>202</w:t>
      </w:r>
      <w:r>
        <w:rPr>
          <w:rFonts w:hint="eastAsia" w:ascii="仿宋_GB2312" w:hAnsi="Times New Roman" w:eastAsia="仿宋_GB2312" w:cs="仿宋_GB2312"/>
          <w:color w:val="000000" w:themeColor="text1"/>
          <w:sz w:val="32"/>
          <w:szCs w:val="32"/>
        </w:rPr>
        <w:t>4]</w:t>
      </w:r>
      <w:r>
        <w:rPr>
          <w:rFonts w:ascii="仿宋_GB2312" w:hAnsi="Times New Roman" w:eastAsia="仿宋_GB2312" w:cs="仿宋_GB2312"/>
          <w:color w:val="000000" w:themeColor="text1"/>
          <w:sz w:val="32"/>
          <w:szCs w:val="32"/>
        </w:rPr>
        <w:t>01-</w:t>
      </w:r>
      <w:r>
        <w:rPr>
          <w:rFonts w:hint="eastAsia" w:ascii="仿宋_GB2312" w:hAnsi="Times New Roman" w:eastAsia="仿宋_GB2312" w:cs="仿宋_GB2312"/>
          <w:color w:val="000000" w:themeColor="text1"/>
          <w:sz w:val="32"/>
          <w:szCs w:val="32"/>
        </w:rPr>
        <w:t>163号</w:t>
      </w:r>
    </w:p>
    <w:p>
      <w:pPr>
        <w:spacing w:line="440" w:lineRule="exact"/>
        <w:rPr>
          <w:rFonts w:ascii="仿宋" w:hAnsi="仿宋" w:eastAsia="仿宋" w:cs="仿宋_GB2312"/>
          <w:color w:val="000000" w:themeColor="text1"/>
          <w:kern w:val="1"/>
          <w:sz w:val="32"/>
          <w:szCs w:val="32"/>
        </w:rPr>
      </w:pPr>
      <w:r>
        <w:rPr>
          <w:rFonts w:hint="eastAsia" w:ascii="仿宋" w:hAnsi="仿宋" w:eastAsia="仿宋" w:cs="仿宋_GB2312"/>
          <w:color w:val="000000" w:themeColor="text1"/>
          <w:kern w:val="1"/>
          <w:sz w:val="32"/>
          <w:szCs w:val="32"/>
        </w:rPr>
        <w:t>当事人：晋江市奇方医药有限公司</w:t>
      </w:r>
    </w:p>
    <w:p>
      <w:pPr>
        <w:spacing w:line="440" w:lineRule="exact"/>
        <w:rPr>
          <w:rFonts w:ascii="仿宋" w:hAnsi="仿宋" w:eastAsia="仿宋" w:cs="仿宋_GB2312"/>
          <w:color w:val="000000" w:themeColor="text1"/>
          <w:kern w:val="1"/>
          <w:sz w:val="32"/>
          <w:szCs w:val="32"/>
        </w:rPr>
      </w:pPr>
      <w:r>
        <w:rPr>
          <w:rFonts w:hint="eastAsia" w:ascii="仿宋" w:hAnsi="仿宋" w:eastAsia="仿宋" w:cs="仿宋_GB2312"/>
          <w:color w:val="000000" w:themeColor="text1"/>
          <w:kern w:val="1"/>
          <w:sz w:val="32"/>
          <w:szCs w:val="32"/>
        </w:rPr>
        <w:t>主体资格证照名称：营业执照</w:t>
      </w:r>
    </w:p>
    <w:p>
      <w:pPr>
        <w:spacing w:line="440" w:lineRule="exact"/>
        <w:rPr>
          <w:rFonts w:ascii="仿宋" w:hAnsi="仿宋" w:eastAsia="仿宋" w:cs="仿宋_GB2312"/>
          <w:color w:val="000000" w:themeColor="text1"/>
          <w:kern w:val="1"/>
          <w:sz w:val="32"/>
          <w:szCs w:val="32"/>
        </w:rPr>
      </w:pPr>
      <w:r>
        <w:rPr>
          <w:rFonts w:hint="eastAsia" w:ascii="仿宋" w:hAnsi="仿宋" w:eastAsia="仿宋" w:cs="仿宋_GB2312"/>
          <w:color w:val="000000" w:themeColor="text1"/>
          <w:kern w:val="1"/>
          <w:sz w:val="32"/>
          <w:szCs w:val="32"/>
        </w:rPr>
        <w:t>统一社会信用代码：</w:t>
      </w:r>
      <w:r>
        <w:rPr>
          <w:rFonts w:ascii="仿宋" w:hAnsi="仿宋" w:eastAsia="仿宋" w:cs="仿宋_GB2312"/>
          <w:color w:val="000000" w:themeColor="text1"/>
          <w:kern w:val="1"/>
          <w:sz w:val="32"/>
          <w:szCs w:val="32"/>
        </w:rPr>
        <w:t>91350582MA8RRGY97J</w:t>
      </w:r>
    </w:p>
    <w:p>
      <w:pPr>
        <w:spacing w:line="440" w:lineRule="exact"/>
        <w:rPr>
          <w:rFonts w:ascii="仿宋" w:hAnsi="仿宋" w:eastAsia="仿宋" w:cs="仿宋_GB2312"/>
          <w:color w:val="000000" w:themeColor="text1"/>
          <w:kern w:val="1"/>
          <w:sz w:val="32"/>
          <w:szCs w:val="32"/>
        </w:rPr>
      </w:pPr>
      <w:r>
        <w:rPr>
          <w:rFonts w:hint="eastAsia" w:ascii="仿宋" w:hAnsi="仿宋" w:eastAsia="仿宋" w:cs="仿宋_GB2312"/>
          <w:color w:val="000000" w:themeColor="text1"/>
          <w:kern w:val="1"/>
          <w:sz w:val="32"/>
          <w:szCs w:val="32"/>
        </w:rPr>
        <w:t>企业住所：福建省泉州市晋江市青阳街道霞行社区兴隆路</w:t>
      </w:r>
    </w:p>
    <w:p>
      <w:pPr>
        <w:spacing w:line="440" w:lineRule="exact"/>
        <w:rPr>
          <w:rFonts w:ascii="仿宋" w:hAnsi="仿宋" w:eastAsia="仿宋" w:cs="仿宋_GB2312"/>
          <w:color w:val="000000" w:themeColor="text1"/>
          <w:kern w:val="1"/>
          <w:sz w:val="32"/>
          <w:szCs w:val="32"/>
        </w:rPr>
      </w:pPr>
      <w:r>
        <w:rPr>
          <w:rFonts w:hint="eastAsia" w:ascii="仿宋" w:hAnsi="仿宋" w:eastAsia="仿宋" w:cs="仿宋_GB2312"/>
          <w:color w:val="000000" w:themeColor="text1"/>
          <w:kern w:val="1"/>
          <w:sz w:val="32"/>
          <w:szCs w:val="32"/>
        </w:rPr>
        <w:t>法定代表人：吴美婷</w:t>
      </w:r>
      <w:bookmarkStart w:id="0" w:name="_GoBack"/>
      <w:bookmarkEnd w:id="0"/>
    </w:p>
    <w:p>
      <w:pPr>
        <w:spacing w:line="4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2024年6月28日，我局执法人员根据消费者举报线索对位于福建省泉州市晋江市青阳街道霞行社区兴隆路的晋江市奇方医药有限公司进行检查。执法人员现场出示消费者提供的产品照片、收银小票截图及购买过程录像，当事人确认2024年5月13日消费者向其购买冬虫夏草，其销售给消费者的冬虫夏草产品标签有标注“【别名】：冬虫夏草、夏草冬虫、虫草。【来源】：麦角菌科真菌冬虫夏草寄生在蝙蝠蛾科昆虫幼虫的子座及幼虫尸体的复合体，是一种传统的名贵滋补中药材。【产地】：主产西藏、青海、四川等地。【功能】：一、增强人体免疫力。二、护肺、益肝、健胃。三、止血化痰。四、对人体某些癌细胞有抑杀作用。五、对降血糖亦有良好疗效。常用量：3-9克。【贮放】：冰箱、或放干燥阴凉处，以免受潮。【食用方法】：与鸡肉、瘦肉、生鱼等炖服”。【用法例】1：虫草25条、元肉18g、杞子6g、生姜3片、红枣6枚、瘦肉50g。【用法例】2：虫草25条、甲鱼或水鱼250g、生姜3片以上，炖滚之后再炖60-90分钟，服用时把虫草吃掉。”但包装盒标签上无生产厂家和生产许可信息等。当事人现场向执法人员出示销售的“冬虫夏草”的检验合格报告、供货商资质证件、进货票据，执法人员现场拍照取证。当事人销售给消费者的冬虫夏草产品标签上标注的“【功能】”文字陈述内容超出《中国药典》中的功能范围，其行为涉嫌违反《药品管理法》第九十八条第一款、第二款第（四）项之规定，即予以立案调查。</w:t>
      </w:r>
    </w:p>
    <w:p>
      <w:pPr>
        <w:spacing w:line="440" w:lineRule="exact"/>
        <w:ind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经查实，2024年5月13日消费者向当事人购买的“冬虫夏草”是当事人于2024年4月18日向福建启燕食品有限公司购进，购进时为散装食用农产品称重、无产品包装，共购进5g,单价180元/g，总计900元，当事人依法履行进货查验义务，查验供应商资质证件及检测合格报告（报告编号：A2240154484101001C）。当事人将购进的散装冬虫夏草自行包装、印制产品标签并张贴于外包装上后销售给消费者（举报人），销售价格195元/g，共计975元，并出具收银小票。产品标签标注的“【功能】”内容涉及治疗功能，且范围超出《中国药典》内容范围，含有虚假文字陈述，属于虚假广告。另，产品标签上未详细标明产品产地、生产者或者销售者的名称或者姓名等信息。该标签是由当事人公司员工涂秋华于2024年5月份设计制作，并张贴于该食用农产品“冬虫夏草”外包装上，该员工涂秋华与当事人存在雇佣关系，涂秋华对该标签的制作属于职务行为。该员工当月工资共计4590元，其中设计制作产品包装和标签的补贴费用每月160元，据此认定其总的广告制作费用为160元。</w:t>
      </w:r>
    </w:p>
    <w:p>
      <w:pPr>
        <w:spacing w:line="4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以上事实，由投诉举报单、现场笔录和照片、询问笔录、当事人身份证、营业执照、药品经营许可证复印件、供货商营业执照、食品经营许可证、销售清单、工资单等证据证明。</w:t>
      </w:r>
      <w:r>
        <w:rPr>
          <w:rFonts w:ascii="仿宋" w:hAnsi="仿宋" w:eastAsia="仿宋" w:cs="仿宋"/>
          <w:color w:val="000000" w:themeColor="text1"/>
          <w:sz w:val="32"/>
          <w:szCs w:val="32"/>
        </w:rPr>
        <w:t xml:space="preserve">  </w:t>
      </w:r>
    </w:p>
    <w:p>
      <w:pPr>
        <w:spacing w:line="4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2024年9月17日，本局向当事人直接送达晋市监罚告</w:t>
      </w:r>
      <w:r>
        <w:rPr>
          <w:rFonts w:ascii="仿宋" w:hAnsi="仿宋" w:eastAsia="仿宋" w:cs="仿宋"/>
          <w:color w:val="000000" w:themeColor="text1"/>
          <w:sz w:val="32"/>
          <w:szCs w:val="32"/>
        </w:rPr>
        <w:t>[202</w:t>
      </w:r>
      <w:r>
        <w:rPr>
          <w:rFonts w:hint="eastAsia" w:ascii="仿宋" w:hAnsi="仿宋" w:eastAsia="仿宋" w:cs="仿宋"/>
          <w:color w:val="000000" w:themeColor="text1"/>
          <w:sz w:val="32"/>
          <w:szCs w:val="32"/>
        </w:rPr>
        <w:t>4</w:t>
      </w:r>
      <w:r>
        <w:rPr>
          <w:rFonts w:ascii="仿宋" w:hAnsi="仿宋" w:eastAsia="仿宋" w:cs="仿宋"/>
          <w:color w:val="000000" w:themeColor="text1"/>
          <w:sz w:val="32"/>
          <w:szCs w:val="32"/>
        </w:rPr>
        <w:t>]  01-</w:t>
      </w:r>
      <w:r>
        <w:rPr>
          <w:rFonts w:hint="eastAsia" w:ascii="仿宋" w:hAnsi="仿宋" w:eastAsia="仿宋" w:cs="仿宋"/>
          <w:color w:val="000000" w:themeColor="text1"/>
          <w:sz w:val="32"/>
          <w:szCs w:val="32"/>
        </w:rPr>
        <w:t>185号《行政处罚告知书》，当事人未在法定期限内提出陈述或申辩。</w:t>
      </w:r>
      <w:r>
        <w:rPr>
          <w:rFonts w:ascii="仿宋" w:hAnsi="仿宋" w:eastAsia="仿宋" w:cs="仿宋"/>
          <w:color w:val="000000" w:themeColor="text1"/>
          <w:sz w:val="32"/>
          <w:szCs w:val="32"/>
        </w:rPr>
        <w:t xml:space="preserve">  </w:t>
      </w:r>
    </w:p>
    <w:p>
      <w:pPr>
        <w:spacing w:line="440" w:lineRule="exact"/>
        <w:ind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本局认为：一、关于涉案产品的定性。根据《食用农产品市场销售质量安全监督管理办法》第四十九条规定：食用农产品，指来源于种植业、林业、畜牧业和渔业等供人食用的初级产品，即在农业活动中获得的供人食用的植物、动物、微生物及其产品，不包括法律法规禁止食用的野生动物产品及其制品。另参考《商务部财政部国家税务总局关于开展农产品连锁经营试点的通知》（商建发【2005】1号）附件“食用农产品范围注释”中“（五）药用植物”的规定，用作中药原药的各种植物的根、茎、皮、叶、花、果实等药用植物和通过对各种药用植物的根、茎、皮、叶、花、果实等进行挑选、整理、捆扎、清洗、晾晒、切碎、蒸煮、密炒等处理过程，制成的片、丝、块、段等中药材，以及利用上述药用植物加工制成的片、丝、块、段等中药饮片都属于食用农产品；但是中成药不属于食用农产品范围。据此，当事人销售的冬虫夏草应当归类为食用农产品，属于《食用农产品市场销售质量安全监督管理办法(2023)》的调整范畴。二、关于当事人违法行为的定性。当事人销售的“冬虫夏草”产品标签中未如实标明生产者或者销售者的名称或者姓名等信息，产地没有具体到县（市、区），违反了《食用农产品市场销售质量安全监督管理办法(2023)》第十二条第一款、第三款之规定。当事人张贴的产品标签含有虚假内容属于《中华人民共和国广告法》第二十八条第二款第（五）项所指的以虚假或者引人误解的内容欺骗、误导消费者的其他情形，违反了《中华人民共和国广告法》第四条第一款之规定。</w:t>
      </w:r>
    </w:p>
    <w:p>
      <w:pPr>
        <w:spacing w:line="440" w:lineRule="exact"/>
        <w:ind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鉴于当事人积极配合市场监督管理部门调查，如实陈述违法事实，符合《福建省市场监督管理行政处罚裁量权适用规则》第十一条第（二）项从轻情节，参照《福建省市场监督管理系统使用&lt;广告法&gt;行政处罚裁量基准》条款代号予以量罚。</w:t>
      </w:r>
    </w:p>
    <w:p>
      <w:pPr>
        <w:spacing w:line="440" w:lineRule="exact"/>
        <w:ind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依据《食用农产品市场销售质量安全监督管理办法(2023)》第四十条、《中华人民共和国广告法》第五十五条第一款、《行政处罚法》第二十八条的规定，本局决定责令当事人改正违法行为，向消费者补正产品信息并致歉以消除影响，并对当事人作出行政处罚如下：</w:t>
      </w:r>
    </w:p>
    <w:p>
      <w:pPr>
        <w:spacing w:line="440" w:lineRule="exact"/>
        <w:ind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1、没收违法所得975元；</w:t>
      </w:r>
    </w:p>
    <w:p>
      <w:pPr>
        <w:spacing w:line="4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2、处罚款560元。    </w:t>
      </w:r>
    </w:p>
    <w:p>
      <w:pPr>
        <w:spacing w:line="4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以上款项合计1535元，当事人应当自收到本决定书之日起十五日内，持“福建省政府非税收入缴款通知书”到银行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spacing w:line="44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当事人如不服本处罚决定，可在接到本处罚决定书之日起</w:t>
      </w:r>
      <w:r>
        <w:rPr>
          <w:rFonts w:ascii="仿宋" w:hAnsi="仿宋" w:eastAsia="仿宋" w:cs="仿宋"/>
          <w:color w:val="000000" w:themeColor="text1"/>
          <w:sz w:val="32"/>
          <w:szCs w:val="32"/>
        </w:rPr>
        <w:t>60</w:t>
      </w:r>
      <w:r>
        <w:rPr>
          <w:rFonts w:hint="eastAsia" w:ascii="仿宋" w:hAnsi="仿宋" w:eastAsia="仿宋" w:cs="仿宋"/>
          <w:color w:val="000000" w:themeColor="text1"/>
          <w:sz w:val="32"/>
          <w:szCs w:val="32"/>
        </w:rPr>
        <w:t>日内向晋江市人民政府申请行政复议，或在</w:t>
      </w:r>
      <w:r>
        <w:rPr>
          <w:rFonts w:ascii="仿宋" w:hAnsi="仿宋" w:eastAsia="仿宋" w:cs="仿宋"/>
          <w:color w:val="000000" w:themeColor="text1"/>
          <w:sz w:val="32"/>
          <w:szCs w:val="32"/>
        </w:rPr>
        <w:t>6</w:t>
      </w:r>
      <w:r>
        <w:rPr>
          <w:rFonts w:hint="eastAsia" w:ascii="仿宋" w:hAnsi="仿宋" w:eastAsia="仿宋" w:cs="仿宋"/>
          <w:color w:val="000000" w:themeColor="text1"/>
          <w:sz w:val="32"/>
          <w:szCs w:val="32"/>
        </w:rPr>
        <w:t>个月内依法向洛江区人民法院提起行政诉讼。当事人对行政处罚决定不服而申请行政复议或者提起行政诉讼期间，行政处罚不停止执行，法律、法规、规章另有规定的，从其规定。</w:t>
      </w:r>
      <w:r>
        <w:rPr>
          <w:rFonts w:ascii="仿宋" w:hAnsi="仿宋" w:eastAsia="仿宋" w:cs="仿宋"/>
          <w:color w:val="000000" w:themeColor="text1"/>
          <w:sz w:val="32"/>
          <w:szCs w:val="32"/>
        </w:rPr>
        <w:t xml:space="preserve"> </w:t>
      </w:r>
    </w:p>
    <w:p>
      <w:pPr>
        <w:spacing w:line="440" w:lineRule="exact"/>
        <w:ind w:firstLine="640" w:firstLineChars="200"/>
        <w:jc w:val="left"/>
        <w:rPr>
          <w:rFonts w:ascii="仿宋" w:hAnsi="仿宋" w:eastAsia="仿宋" w:cs="仿宋"/>
          <w:color w:val="000000" w:themeColor="text1"/>
          <w:sz w:val="32"/>
          <w:szCs w:val="32"/>
        </w:rPr>
      </w:pPr>
    </w:p>
    <w:p>
      <w:pPr>
        <w:spacing w:line="440" w:lineRule="exact"/>
        <w:ind w:firstLine="640" w:firstLineChars="200"/>
        <w:jc w:val="left"/>
        <w:rPr>
          <w:rFonts w:ascii="仿宋" w:hAnsi="仿宋" w:eastAsia="仿宋" w:cs="仿宋"/>
          <w:color w:val="000000" w:themeColor="text1"/>
          <w:sz w:val="32"/>
          <w:szCs w:val="32"/>
        </w:rPr>
      </w:pPr>
    </w:p>
    <w:p>
      <w:pPr>
        <w:spacing w:line="440" w:lineRule="exact"/>
        <w:ind w:firstLine="640" w:firstLineChars="200"/>
        <w:jc w:val="left"/>
        <w:rPr>
          <w:rFonts w:ascii="仿宋" w:hAnsi="仿宋" w:eastAsia="仿宋" w:cs="仿宋"/>
          <w:color w:val="000000" w:themeColor="text1"/>
          <w:sz w:val="32"/>
          <w:szCs w:val="32"/>
        </w:rPr>
      </w:pPr>
    </w:p>
    <w:p>
      <w:pPr>
        <w:spacing w:line="440" w:lineRule="exact"/>
        <w:ind w:firstLine="640" w:firstLineChars="200"/>
        <w:jc w:val="left"/>
        <w:rPr>
          <w:rFonts w:ascii="仿宋" w:hAnsi="仿宋" w:eastAsia="仿宋" w:cs="仿宋"/>
          <w:color w:val="000000" w:themeColor="text1"/>
          <w:sz w:val="32"/>
          <w:szCs w:val="32"/>
        </w:rPr>
      </w:pPr>
    </w:p>
    <w:p>
      <w:pPr>
        <w:spacing w:line="440" w:lineRule="exact"/>
        <w:ind w:firstLine="640" w:firstLineChars="200"/>
        <w:jc w:val="left"/>
        <w:rPr>
          <w:rFonts w:ascii="仿宋" w:hAnsi="仿宋" w:eastAsia="仿宋" w:cs="仿宋"/>
          <w:color w:val="000000" w:themeColor="text1"/>
          <w:sz w:val="32"/>
          <w:szCs w:val="32"/>
        </w:rPr>
      </w:pPr>
    </w:p>
    <w:p>
      <w:pPr>
        <w:spacing w:line="440" w:lineRule="exact"/>
        <w:ind w:firstLine="640" w:firstLineChars="200"/>
        <w:jc w:val="left"/>
        <w:rPr>
          <w:rFonts w:ascii="仿宋" w:hAnsi="仿宋" w:eastAsia="仿宋" w:cs="仿宋"/>
          <w:color w:val="000000" w:themeColor="text1"/>
          <w:sz w:val="32"/>
          <w:szCs w:val="32"/>
        </w:rPr>
      </w:pPr>
    </w:p>
    <w:p>
      <w:pPr>
        <w:spacing w:line="440" w:lineRule="exact"/>
        <w:ind w:firstLine="640" w:firstLineChars="200"/>
        <w:jc w:val="left"/>
        <w:rPr>
          <w:rFonts w:ascii="仿宋" w:hAnsi="仿宋" w:eastAsia="仿宋" w:cs="仿宋"/>
          <w:color w:val="000000" w:themeColor="text1"/>
          <w:sz w:val="32"/>
          <w:szCs w:val="32"/>
        </w:rPr>
      </w:pPr>
    </w:p>
    <w:p>
      <w:pPr>
        <w:spacing w:line="440" w:lineRule="exact"/>
        <w:ind w:firstLine="640" w:firstLineChars="200"/>
        <w:jc w:val="left"/>
        <w:rPr>
          <w:rFonts w:ascii="仿宋" w:hAnsi="仿宋" w:eastAsia="仿宋" w:cs="仿宋"/>
          <w:color w:val="000000" w:themeColor="text1"/>
          <w:sz w:val="32"/>
          <w:szCs w:val="32"/>
        </w:rPr>
      </w:pPr>
    </w:p>
    <w:p>
      <w:pPr>
        <w:spacing w:line="440" w:lineRule="exact"/>
        <w:ind w:firstLine="640" w:firstLineChars="200"/>
        <w:jc w:val="left"/>
        <w:rPr>
          <w:rFonts w:ascii="仿宋" w:hAnsi="仿宋" w:eastAsia="仿宋" w:cs="仿宋"/>
          <w:color w:val="000000" w:themeColor="text1"/>
          <w:sz w:val="32"/>
          <w:szCs w:val="32"/>
        </w:rPr>
      </w:pPr>
    </w:p>
    <w:p>
      <w:pPr>
        <w:spacing w:line="440" w:lineRule="exact"/>
        <w:ind w:firstLine="601"/>
        <w:jc w:val="right"/>
        <w:rPr>
          <w:rFonts w:ascii="仿宋" w:hAnsi="仿宋" w:eastAsia="仿宋" w:cs="Times New Roman"/>
          <w:color w:val="000000" w:themeColor="text1"/>
          <w:sz w:val="32"/>
          <w:szCs w:val="32"/>
        </w:rPr>
      </w:pPr>
      <w:r>
        <w:rPr>
          <w:rFonts w:ascii="仿宋" w:hAnsi="仿宋" w:eastAsia="仿宋" w:cs="仿宋"/>
          <w:color w:val="000000" w:themeColor="text1"/>
          <w:sz w:val="32"/>
          <w:szCs w:val="32"/>
        </w:rPr>
        <w:t xml:space="preserve">                   </w:t>
      </w:r>
      <w:r>
        <w:rPr>
          <w:rFonts w:hint="eastAsia" w:ascii="仿宋" w:hAnsi="仿宋" w:eastAsia="仿宋" w:cs="仿宋"/>
          <w:color w:val="000000" w:themeColor="text1"/>
          <w:sz w:val="32"/>
          <w:szCs w:val="32"/>
        </w:rPr>
        <w:t>晋江市市场监督管理局</w:t>
      </w:r>
    </w:p>
    <w:p>
      <w:pPr>
        <w:spacing w:line="440" w:lineRule="exact"/>
        <w:jc w:val="right"/>
        <w:rPr>
          <w:rFonts w:ascii="仿宋" w:hAnsi="仿宋" w:eastAsia="仿宋" w:cs="仿宋"/>
          <w:color w:val="000000" w:themeColor="text1"/>
          <w:sz w:val="32"/>
          <w:szCs w:val="32"/>
        </w:rPr>
      </w:pPr>
      <w:r>
        <w:rPr>
          <w:rFonts w:ascii="仿宋" w:hAnsi="仿宋" w:eastAsia="仿宋" w:cs="仿宋"/>
          <w:color w:val="000000" w:themeColor="text1"/>
          <w:sz w:val="32"/>
          <w:szCs w:val="32"/>
        </w:rPr>
        <w:t xml:space="preserve">        </w:t>
      </w:r>
      <w:r>
        <w:rPr>
          <w:rFonts w:hint="eastAsia" w:ascii="仿宋" w:hAnsi="仿宋" w:eastAsia="仿宋" w:cs="仿宋"/>
          <w:color w:val="000000" w:themeColor="text1"/>
          <w:sz w:val="32"/>
          <w:szCs w:val="32"/>
        </w:rPr>
        <w:t>2024年9月26日</w:t>
      </w:r>
    </w:p>
    <w:p>
      <w:pPr>
        <w:spacing w:line="500" w:lineRule="exact"/>
        <w:rPr>
          <w:rFonts w:hint="eastAsia" w:ascii="仿宋_GB2312" w:hAnsi="仿宋" w:eastAsia="仿宋_GB2312" w:cs="Times New Roman"/>
          <w:color w:val="000000" w:themeColor="text1"/>
          <w:sz w:val="32"/>
          <w:szCs w:val="32"/>
        </w:rPr>
      </w:pPr>
      <w:r>
        <w:rPr>
          <w:rFonts w:hint="eastAsia" w:ascii="仿宋_GB2312" w:hAnsi="仿宋" w:eastAsia="仿宋_GB2312" w:cs="Times New Roman"/>
          <w:color w:val="000000" w:themeColor="text1"/>
          <w:sz w:val="32"/>
          <w:szCs w:val="32"/>
        </w:rPr>
        <w:t xml:space="preserve"> </w:t>
      </w:r>
    </w:p>
    <w:p>
      <w:pPr>
        <w:spacing w:line="500" w:lineRule="exact"/>
        <w:rPr>
          <w:rFonts w:hint="eastAsia" w:ascii="仿宋_GB2312" w:hAnsi="仿宋" w:eastAsia="仿宋_GB2312" w:cs="Times New Roman"/>
          <w:color w:val="000000" w:themeColor="text1"/>
          <w:sz w:val="32"/>
          <w:szCs w:val="32"/>
        </w:rPr>
      </w:pPr>
    </w:p>
    <w:p>
      <w:pPr>
        <w:spacing w:line="500" w:lineRule="exact"/>
        <w:rPr>
          <w:rFonts w:hint="eastAsia" w:ascii="仿宋_GB2312" w:hAnsi="仿宋" w:eastAsia="仿宋_GB2312" w:cs="Times New Roman"/>
          <w:color w:val="000000" w:themeColor="text1"/>
          <w:sz w:val="32"/>
          <w:szCs w:val="32"/>
        </w:rPr>
      </w:pPr>
    </w:p>
    <w:p>
      <w:pPr>
        <w:spacing w:line="500" w:lineRule="exact"/>
        <w:rPr>
          <w:rFonts w:hint="eastAsia" w:ascii="仿宋_GB2312" w:hAnsi="仿宋" w:eastAsia="仿宋_GB2312" w:cs="Times New Roman"/>
          <w:color w:val="000000" w:themeColor="text1"/>
          <w:sz w:val="32"/>
          <w:szCs w:val="32"/>
        </w:rPr>
      </w:pPr>
    </w:p>
    <w:p>
      <w:pPr>
        <w:spacing w:line="500" w:lineRule="exact"/>
        <w:rPr>
          <w:rFonts w:hint="eastAsia" w:ascii="仿宋_GB2312" w:hAnsi="仿宋" w:eastAsia="仿宋_GB2312" w:cs="Times New Roman"/>
          <w:color w:val="000000" w:themeColor="text1"/>
          <w:sz w:val="32"/>
          <w:szCs w:val="32"/>
        </w:rPr>
      </w:pPr>
    </w:p>
    <w:p>
      <w:pPr>
        <w:spacing w:line="500" w:lineRule="exact"/>
        <w:rPr>
          <w:rFonts w:ascii="仿宋_GB2312" w:hAnsi="仿宋" w:eastAsia="仿宋_GB2312" w:cs="Times New Roman"/>
          <w:color w:val="000000" w:themeColor="text1"/>
          <w:sz w:val="32"/>
          <w:szCs w:val="32"/>
        </w:rPr>
      </w:pPr>
    </w:p>
    <w:p>
      <w:pPr>
        <w:spacing w:line="500" w:lineRule="exact"/>
        <w:rPr>
          <w:rFonts w:ascii="仿宋_GB2312" w:hAnsi="仿宋" w:eastAsia="仿宋_GB2312" w:cs="Times New Roman"/>
          <w:color w:val="000000" w:themeColor="text1"/>
          <w:sz w:val="32"/>
          <w:szCs w:val="32"/>
        </w:rPr>
      </w:pPr>
    </w:p>
    <w:p>
      <w:pPr>
        <w:pBdr>
          <w:bottom w:val="thinThickThinMediumGap" w:color="auto" w:sz="18" w:space="1"/>
        </w:pBdr>
        <w:spacing w:line="520" w:lineRule="exact"/>
        <w:jc w:val="center"/>
        <w:rPr>
          <w:rFonts w:ascii="仿宋_GB2312" w:hAnsi="宋体" w:eastAsia="仿宋_GB2312"/>
          <w:color w:val="000000" w:themeColor="text1"/>
          <w:sz w:val="30"/>
          <w:szCs w:val="30"/>
        </w:rPr>
      </w:pPr>
      <w:r>
        <w:rPr>
          <w:rFonts w:hint="eastAsia" w:ascii="仿宋_GB2312" w:hAnsi="宋体" w:eastAsia="仿宋_GB2312"/>
          <w:color w:val="000000" w:themeColor="text1"/>
          <w:sz w:val="30"/>
          <w:szCs w:val="30"/>
        </w:rPr>
        <w:t>（</w:t>
      </w:r>
      <w:r>
        <w:rPr>
          <w:rFonts w:hint="eastAsia" w:ascii="黑体" w:hAnsi="黑体" w:eastAsia="黑体" w:cs="黑体"/>
          <w:bCs/>
          <w:color w:val="000000" w:themeColor="text1"/>
          <w:sz w:val="32"/>
          <w:szCs w:val="32"/>
        </w:rPr>
        <w:t>市场监督管理部门将依法向社会公示本行政处罚决定信息</w:t>
      </w:r>
      <w:r>
        <w:rPr>
          <w:rFonts w:hint="eastAsia" w:ascii="仿宋_GB2312" w:hAnsi="宋体" w:eastAsia="仿宋_GB2312"/>
          <w:color w:val="000000" w:themeColor="text1"/>
          <w:sz w:val="30"/>
          <w:szCs w:val="30"/>
        </w:rPr>
        <w:t>）</w:t>
      </w:r>
    </w:p>
    <w:p>
      <w:pPr>
        <w:spacing w:line="480" w:lineRule="exact"/>
        <w:jc w:val="center"/>
        <w:rPr>
          <w:rFonts w:ascii="仿宋_GB2312" w:hAnsi="仿宋" w:eastAsia="仿宋_GB2312" w:cs="Times New Roman"/>
          <w:color w:val="000000" w:themeColor="text1"/>
          <w:sz w:val="32"/>
          <w:szCs w:val="32"/>
        </w:rPr>
      </w:pPr>
      <w:r>
        <w:rPr>
          <w:rFonts w:hint="eastAsia" w:ascii="仿宋" w:hAnsi="仿宋" w:eastAsia="仿宋" w:cs="仿宋"/>
          <w:color w:val="000000" w:themeColor="text1"/>
          <w:sz w:val="32"/>
          <w:szCs w:val="32"/>
        </w:rPr>
        <w:t>文本书一式两份，一份送达，一份归档</w:t>
      </w: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仿宋_GB2312" w:eastAsia="仿宋_GB2312"/>
        <w:sz w:val="28"/>
        <w:szCs w:val="28"/>
      </w:rPr>
    </w:pPr>
    <w:r>
      <w:rPr>
        <w:rFonts w:hint="eastAsia" w:ascii="仿宋_GB2312" w:eastAsia="仿宋_GB2312"/>
        <w:sz w:val="28"/>
        <w:szCs w:val="21"/>
      </w:rPr>
      <w:t xml:space="preserve">第 </w:t>
    </w:r>
    <w:r>
      <w:rPr>
        <w:rFonts w:ascii="仿宋_GB2312" w:eastAsia="仿宋_GB2312"/>
        <w:sz w:val="28"/>
        <w:szCs w:val="21"/>
      </w:rPr>
      <w:fldChar w:fldCharType="begin"/>
    </w:r>
    <w:r>
      <w:rPr>
        <w:rFonts w:ascii="仿宋_GB2312" w:eastAsia="仿宋_GB2312"/>
        <w:sz w:val="28"/>
        <w:szCs w:val="21"/>
      </w:rPr>
      <w:instrText xml:space="preserve"> PAGE </w:instrText>
    </w:r>
    <w:r>
      <w:rPr>
        <w:rFonts w:ascii="仿宋_GB2312" w:eastAsia="仿宋_GB2312"/>
        <w:sz w:val="28"/>
        <w:szCs w:val="21"/>
      </w:rPr>
      <w:fldChar w:fldCharType="separate"/>
    </w:r>
    <w:r>
      <w:rPr>
        <w:rFonts w:ascii="仿宋_GB2312" w:eastAsia="仿宋_GB2312"/>
        <w:sz w:val="28"/>
        <w:szCs w:val="21"/>
      </w:rPr>
      <w:t>4</w:t>
    </w:r>
    <w:r>
      <w:rPr>
        <w:rFonts w:ascii="仿宋_GB2312" w:eastAsia="仿宋_GB2312"/>
        <w:sz w:val="28"/>
        <w:szCs w:val="21"/>
      </w:rPr>
      <w:fldChar w:fldCharType="end"/>
    </w:r>
    <w:r>
      <w:rPr>
        <w:rFonts w:hint="eastAsia" w:ascii="仿宋_GB2312" w:eastAsia="仿宋_GB2312"/>
        <w:sz w:val="28"/>
        <w:szCs w:val="21"/>
      </w:rPr>
      <w:t xml:space="preserve"> 页 共 </w:t>
    </w:r>
    <w:r>
      <w:rPr>
        <w:rFonts w:ascii="仿宋_GB2312" w:eastAsia="仿宋_GB2312"/>
        <w:sz w:val="28"/>
        <w:szCs w:val="21"/>
      </w:rPr>
      <w:fldChar w:fldCharType="begin"/>
    </w:r>
    <w:r>
      <w:rPr>
        <w:rFonts w:ascii="仿宋_GB2312" w:eastAsia="仿宋_GB2312"/>
        <w:sz w:val="28"/>
        <w:szCs w:val="21"/>
      </w:rPr>
      <w:instrText xml:space="preserve"> NUMPAGES </w:instrText>
    </w:r>
    <w:r>
      <w:rPr>
        <w:rFonts w:ascii="仿宋_GB2312" w:eastAsia="仿宋_GB2312"/>
        <w:sz w:val="28"/>
        <w:szCs w:val="21"/>
      </w:rPr>
      <w:fldChar w:fldCharType="separate"/>
    </w:r>
    <w:r>
      <w:rPr>
        <w:rFonts w:ascii="仿宋_GB2312" w:eastAsia="仿宋_GB2312"/>
        <w:sz w:val="28"/>
        <w:szCs w:val="21"/>
      </w:rPr>
      <w:t>4</w:t>
    </w:r>
    <w:r>
      <w:rPr>
        <w:rFonts w:ascii="仿宋_GB2312" w:eastAsia="仿宋_GB2312"/>
        <w:sz w:val="28"/>
        <w:szCs w:val="21"/>
      </w:rPr>
      <w:fldChar w:fldCharType="end"/>
    </w:r>
    <w:r>
      <w:rPr>
        <w:rFonts w:hint="eastAsia" w:ascii="仿宋_GB2312" w:eastAsia="仿宋_GB2312"/>
        <w:sz w:val="28"/>
        <w:szCs w:val="21"/>
      </w:rPr>
      <w:t xml:space="preserve"> 页</w:t>
    </w:r>
  </w:p>
  <w:p>
    <w:pPr>
      <w:pStyle w:val="4"/>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C15E7"/>
    <w:rsid w:val="00000DF4"/>
    <w:rsid w:val="0000397D"/>
    <w:rsid w:val="00003A2A"/>
    <w:rsid w:val="00005C52"/>
    <w:rsid w:val="00007764"/>
    <w:rsid w:val="000248F3"/>
    <w:rsid w:val="00034496"/>
    <w:rsid w:val="00037806"/>
    <w:rsid w:val="00040F02"/>
    <w:rsid w:val="0004759F"/>
    <w:rsid w:val="000476AD"/>
    <w:rsid w:val="00063955"/>
    <w:rsid w:val="00076164"/>
    <w:rsid w:val="00077A72"/>
    <w:rsid w:val="00077DE6"/>
    <w:rsid w:val="000A0EAA"/>
    <w:rsid w:val="000A23C0"/>
    <w:rsid w:val="000A5D28"/>
    <w:rsid w:val="000B0D42"/>
    <w:rsid w:val="000C3E68"/>
    <w:rsid w:val="000C4D50"/>
    <w:rsid w:val="001055EC"/>
    <w:rsid w:val="00114448"/>
    <w:rsid w:val="00126331"/>
    <w:rsid w:val="00140948"/>
    <w:rsid w:val="00143B8C"/>
    <w:rsid w:val="00153BEB"/>
    <w:rsid w:val="001814DF"/>
    <w:rsid w:val="00185FA5"/>
    <w:rsid w:val="001963E2"/>
    <w:rsid w:val="001A3074"/>
    <w:rsid w:val="001B0254"/>
    <w:rsid w:val="001B40E4"/>
    <w:rsid w:val="001B52A1"/>
    <w:rsid w:val="001C2286"/>
    <w:rsid w:val="001C3CA0"/>
    <w:rsid w:val="001C4FB6"/>
    <w:rsid w:val="001D4034"/>
    <w:rsid w:val="001F327B"/>
    <w:rsid w:val="00204476"/>
    <w:rsid w:val="002248A6"/>
    <w:rsid w:val="00231D99"/>
    <w:rsid w:val="00235707"/>
    <w:rsid w:val="0023661B"/>
    <w:rsid w:val="00244CA8"/>
    <w:rsid w:val="00246A8D"/>
    <w:rsid w:val="00254D23"/>
    <w:rsid w:val="0026024E"/>
    <w:rsid w:val="00274E53"/>
    <w:rsid w:val="00291604"/>
    <w:rsid w:val="002A15A0"/>
    <w:rsid w:val="002A29D7"/>
    <w:rsid w:val="002C1098"/>
    <w:rsid w:val="002C15E7"/>
    <w:rsid w:val="002C1F2A"/>
    <w:rsid w:val="002C30A0"/>
    <w:rsid w:val="002C43EA"/>
    <w:rsid w:val="002D7D1F"/>
    <w:rsid w:val="00316F22"/>
    <w:rsid w:val="00342439"/>
    <w:rsid w:val="00345C90"/>
    <w:rsid w:val="0034617A"/>
    <w:rsid w:val="00352851"/>
    <w:rsid w:val="00361A24"/>
    <w:rsid w:val="00365D56"/>
    <w:rsid w:val="00367629"/>
    <w:rsid w:val="00376952"/>
    <w:rsid w:val="00393749"/>
    <w:rsid w:val="003A39D4"/>
    <w:rsid w:val="003A7A6D"/>
    <w:rsid w:val="003B2CB3"/>
    <w:rsid w:val="003B4FFA"/>
    <w:rsid w:val="003C7762"/>
    <w:rsid w:val="003D0AEB"/>
    <w:rsid w:val="003E15D4"/>
    <w:rsid w:val="00401A24"/>
    <w:rsid w:val="00401D9C"/>
    <w:rsid w:val="004047AA"/>
    <w:rsid w:val="00412F44"/>
    <w:rsid w:val="00435755"/>
    <w:rsid w:val="00451E9B"/>
    <w:rsid w:val="00455977"/>
    <w:rsid w:val="00455EA0"/>
    <w:rsid w:val="004563B1"/>
    <w:rsid w:val="00480AB5"/>
    <w:rsid w:val="00484231"/>
    <w:rsid w:val="004A236B"/>
    <w:rsid w:val="004A28D0"/>
    <w:rsid w:val="004A3F4C"/>
    <w:rsid w:val="004B0E01"/>
    <w:rsid w:val="004B1549"/>
    <w:rsid w:val="004B4907"/>
    <w:rsid w:val="004C3ED8"/>
    <w:rsid w:val="004C40F0"/>
    <w:rsid w:val="004D18F8"/>
    <w:rsid w:val="004D3A40"/>
    <w:rsid w:val="004D587E"/>
    <w:rsid w:val="004D6A07"/>
    <w:rsid w:val="004E4338"/>
    <w:rsid w:val="004E5958"/>
    <w:rsid w:val="004F1E42"/>
    <w:rsid w:val="004F4239"/>
    <w:rsid w:val="004F70D9"/>
    <w:rsid w:val="0050052A"/>
    <w:rsid w:val="0050065D"/>
    <w:rsid w:val="005010C0"/>
    <w:rsid w:val="005074D5"/>
    <w:rsid w:val="00510CFC"/>
    <w:rsid w:val="00522964"/>
    <w:rsid w:val="00540AD0"/>
    <w:rsid w:val="00542F70"/>
    <w:rsid w:val="00545378"/>
    <w:rsid w:val="00550C02"/>
    <w:rsid w:val="00555393"/>
    <w:rsid w:val="005643CF"/>
    <w:rsid w:val="00565052"/>
    <w:rsid w:val="00567EB0"/>
    <w:rsid w:val="005767F9"/>
    <w:rsid w:val="00581E86"/>
    <w:rsid w:val="005870C9"/>
    <w:rsid w:val="00593B93"/>
    <w:rsid w:val="0059535A"/>
    <w:rsid w:val="005A63D8"/>
    <w:rsid w:val="005C7547"/>
    <w:rsid w:val="005D6875"/>
    <w:rsid w:val="005E0F35"/>
    <w:rsid w:val="005F2547"/>
    <w:rsid w:val="005F7EBF"/>
    <w:rsid w:val="0060093F"/>
    <w:rsid w:val="00601876"/>
    <w:rsid w:val="00613C75"/>
    <w:rsid w:val="00613F3D"/>
    <w:rsid w:val="00626542"/>
    <w:rsid w:val="0062771D"/>
    <w:rsid w:val="0063101E"/>
    <w:rsid w:val="00641880"/>
    <w:rsid w:val="0064298B"/>
    <w:rsid w:val="0064416B"/>
    <w:rsid w:val="00655E6A"/>
    <w:rsid w:val="00661836"/>
    <w:rsid w:val="006664F7"/>
    <w:rsid w:val="0067063C"/>
    <w:rsid w:val="0067073C"/>
    <w:rsid w:val="00672F3A"/>
    <w:rsid w:val="00673EFA"/>
    <w:rsid w:val="00685512"/>
    <w:rsid w:val="006940C9"/>
    <w:rsid w:val="006A4F3C"/>
    <w:rsid w:val="006A5923"/>
    <w:rsid w:val="006D6D9E"/>
    <w:rsid w:val="006E04BA"/>
    <w:rsid w:val="006E5E74"/>
    <w:rsid w:val="006F72D4"/>
    <w:rsid w:val="0070356E"/>
    <w:rsid w:val="00727A76"/>
    <w:rsid w:val="007468DD"/>
    <w:rsid w:val="00750735"/>
    <w:rsid w:val="007530C4"/>
    <w:rsid w:val="007531C7"/>
    <w:rsid w:val="0076529B"/>
    <w:rsid w:val="00775D2F"/>
    <w:rsid w:val="00777B33"/>
    <w:rsid w:val="007816DE"/>
    <w:rsid w:val="00787563"/>
    <w:rsid w:val="00794E76"/>
    <w:rsid w:val="007A37A6"/>
    <w:rsid w:val="007B288C"/>
    <w:rsid w:val="007B471B"/>
    <w:rsid w:val="007C0A45"/>
    <w:rsid w:val="007C738A"/>
    <w:rsid w:val="007E3F36"/>
    <w:rsid w:val="008031CC"/>
    <w:rsid w:val="00807214"/>
    <w:rsid w:val="00816852"/>
    <w:rsid w:val="00821D7F"/>
    <w:rsid w:val="00832483"/>
    <w:rsid w:val="00836751"/>
    <w:rsid w:val="008429FC"/>
    <w:rsid w:val="00852766"/>
    <w:rsid w:val="00864F31"/>
    <w:rsid w:val="0088058F"/>
    <w:rsid w:val="00885A3D"/>
    <w:rsid w:val="008948D5"/>
    <w:rsid w:val="00895640"/>
    <w:rsid w:val="008B0521"/>
    <w:rsid w:val="008B0B57"/>
    <w:rsid w:val="008B55D8"/>
    <w:rsid w:val="008C0D6D"/>
    <w:rsid w:val="008C14F2"/>
    <w:rsid w:val="008C2317"/>
    <w:rsid w:val="008C3D24"/>
    <w:rsid w:val="008D79F9"/>
    <w:rsid w:val="008E1178"/>
    <w:rsid w:val="008F73B6"/>
    <w:rsid w:val="00900573"/>
    <w:rsid w:val="00907178"/>
    <w:rsid w:val="00915841"/>
    <w:rsid w:val="00943E08"/>
    <w:rsid w:val="00945347"/>
    <w:rsid w:val="00960A92"/>
    <w:rsid w:val="00971C32"/>
    <w:rsid w:val="00993AC0"/>
    <w:rsid w:val="00993F3D"/>
    <w:rsid w:val="009A18D3"/>
    <w:rsid w:val="009B1BFD"/>
    <w:rsid w:val="009B7E35"/>
    <w:rsid w:val="009C5839"/>
    <w:rsid w:val="009C5986"/>
    <w:rsid w:val="009D589C"/>
    <w:rsid w:val="009E5C45"/>
    <w:rsid w:val="009F1668"/>
    <w:rsid w:val="009F35A6"/>
    <w:rsid w:val="00A17B66"/>
    <w:rsid w:val="00A37262"/>
    <w:rsid w:val="00A53F0B"/>
    <w:rsid w:val="00A549AB"/>
    <w:rsid w:val="00A54ABB"/>
    <w:rsid w:val="00A54D5C"/>
    <w:rsid w:val="00A56058"/>
    <w:rsid w:val="00A57C76"/>
    <w:rsid w:val="00A57D33"/>
    <w:rsid w:val="00A71560"/>
    <w:rsid w:val="00A77EFB"/>
    <w:rsid w:val="00A97422"/>
    <w:rsid w:val="00AA216C"/>
    <w:rsid w:val="00AB29F8"/>
    <w:rsid w:val="00AB4777"/>
    <w:rsid w:val="00AC6F8A"/>
    <w:rsid w:val="00AD57FE"/>
    <w:rsid w:val="00AD7E06"/>
    <w:rsid w:val="00AE3558"/>
    <w:rsid w:val="00AF0945"/>
    <w:rsid w:val="00AF0A0C"/>
    <w:rsid w:val="00AF59C2"/>
    <w:rsid w:val="00B25C9F"/>
    <w:rsid w:val="00B432E0"/>
    <w:rsid w:val="00B4481B"/>
    <w:rsid w:val="00B51FFA"/>
    <w:rsid w:val="00B5643C"/>
    <w:rsid w:val="00B61458"/>
    <w:rsid w:val="00B62E7A"/>
    <w:rsid w:val="00B66630"/>
    <w:rsid w:val="00B66D63"/>
    <w:rsid w:val="00B735E1"/>
    <w:rsid w:val="00B8138E"/>
    <w:rsid w:val="00B83175"/>
    <w:rsid w:val="00BA3308"/>
    <w:rsid w:val="00BB3222"/>
    <w:rsid w:val="00BB371A"/>
    <w:rsid w:val="00BB4B5B"/>
    <w:rsid w:val="00BC4F4E"/>
    <w:rsid w:val="00BD1878"/>
    <w:rsid w:val="00BD4131"/>
    <w:rsid w:val="00BD69A7"/>
    <w:rsid w:val="00BD78C9"/>
    <w:rsid w:val="00BE14AE"/>
    <w:rsid w:val="00BE24F5"/>
    <w:rsid w:val="00BE671D"/>
    <w:rsid w:val="00BF1A59"/>
    <w:rsid w:val="00C00611"/>
    <w:rsid w:val="00C00DFD"/>
    <w:rsid w:val="00C05FD3"/>
    <w:rsid w:val="00C179D8"/>
    <w:rsid w:val="00C223E1"/>
    <w:rsid w:val="00C22D03"/>
    <w:rsid w:val="00C26BA9"/>
    <w:rsid w:val="00C27F5A"/>
    <w:rsid w:val="00C315A2"/>
    <w:rsid w:val="00C44A08"/>
    <w:rsid w:val="00C46A3C"/>
    <w:rsid w:val="00C60003"/>
    <w:rsid w:val="00C644A3"/>
    <w:rsid w:val="00C64EB8"/>
    <w:rsid w:val="00C7310B"/>
    <w:rsid w:val="00C744AD"/>
    <w:rsid w:val="00C8768E"/>
    <w:rsid w:val="00CA277B"/>
    <w:rsid w:val="00CB07D7"/>
    <w:rsid w:val="00CB40F1"/>
    <w:rsid w:val="00CC5D78"/>
    <w:rsid w:val="00CC6C25"/>
    <w:rsid w:val="00CD2941"/>
    <w:rsid w:val="00CD3255"/>
    <w:rsid w:val="00CD33E5"/>
    <w:rsid w:val="00CE6593"/>
    <w:rsid w:val="00CF4B8B"/>
    <w:rsid w:val="00CF5F27"/>
    <w:rsid w:val="00D04055"/>
    <w:rsid w:val="00D073EF"/>
    <w:rsid w:val="00D07FA5"/>
    <w:rsid w:val="00D22376"/>
    <w:rsid w:val="00D22E47"/>
    <w:rsid w:val="00D31F55"/>
    <w:rsid w:val="00D33C8B"/>
    <w:rsid w:val="00D46980"/>
    <w:rsid w:val="00D62082"/>
    <w:rsid w:val="00D666BD"/>
    <w:rsid w:val="00D671F0"/>
    <w:rsid w:val="00D81800"/>
    <w:rsid w:val="00D834B1"/>
    <w:rsid w:val="00D854B5"/>
    <w:rsid w:val="00D8749A"/>
    <w:rsid w:val="00D90D35"/>
    <w:rsid w:val="00D93AF7"/>
    <w:rsid w:val="00DA3134"/>
    <w:rsid w:val="00DB5677"/>
    <w:rsid w:val="00DB7BC3"/>
    <w:rsid w:val="00DC0C67"/>
    <w:rsid w:val="00DD29F2"/>
    <w:rsid w:val="00DF214D"/>
    <w:rsid w:val="00DF272A"/>
    <w:rsid w:val="00DF7747"/>
    <w:rsid w:val="00DF7A8B"/>
    <w:rsid w:val="00E01C80"/>
    <w:rsid w:val="00E12533"/>
    <w:rsid w:val="00E20BB6"/>
    <w:rsid w:val="00E21401"/>
    <w:rsid w:val="00E23B62"/>
    <w:rsid w:val="00E24EC8"/>
    <w:rsid w:val="00E36AB3"/>
    <w:rsid w:val="00E400C9"/>
    <w:rsid w:val="00E41F82"/>
    <w:rsid w:val="00E54C6D"/>
    <w:rsid w:val="00E558FA"/>
    <w:rsid w:val="00E65251"/>
    <w:rsid w:val="00E72F7C"/>
    <w:rsid w:val="00E820CD"/>
    <w:rsid w:val="00E83576"/>
    <w:rsid w:val="00E97C53"/>
    <w:rsid w:val="00EA3F89"/>
    <w:rsid w:val="00EA3FF4"/>
    <w:rsid w:val="00EB3F5F"/>
    <w:rsid w:val="00EC0853"/>
    <w:rsid w:val="00EC1394"/>
    <w:rsid w:val="00EC743D"/>
    <w:rsid w:val="00ED0239"/>
    <w:rsid w:val="00EE276D"/>
    <w:rsid w:val="00F037D6"/>
    <w:rsid w:val="00F05F79"/>
    <w:rsid w:val="00F06E2B"/>
    <w:rsid w:val="00F07D35"/>
    <w:rsid w:val="00F21E44"/>
    <w:rsid w:val="00F23FF8"/>
    <w:rsid w:val="00F25785"/>
    <w:rsid w:val="00F35474"/>
    <w:rsid w:val="00F40E47"/>
    <w:rsid w:val="00F5146E"/>
    <w:rsid w:val="00F6001B"/>
    <w:rsid w:val="00F76E63"/>
    <w:rsid w:val="00F85AF5"/>
    <w:rsid w:val="00F90E74"/>
    <w:rsid w:val="00F96CF2"/>
    <w:rsid w:val="00FA68F7"/>
    <w:rsid w:val="00FB7579"/>
    <w:rsid w:val="00FB7E94"/>
    <w:rsid w:val="00FC0159"/>
    <w:rsid w:val="00FC5219"/>
    <w:rsid w:val="00FC57CE"/>
    <w:rsid w:val="00FE67A7"/>
    <w:rsid w:val="0A9E0882"/>
    <w:rsid w:val="16B16849"/>
    <w:rsid w:val="17BE75D5"/>
    <w:rsid w:val="1A033433"/>
    <w:rsid w:val="1D7959C2"/>
    <w:rsid w:val="28690811"/>
    <w:rsid w:val="4861719E"/>
    <w:rsid w:val="4F965EA1"/>
    <w:rsid w:val="50D46083"/>
    <w:rsid w:val="5A2D67C8"/>
    <w:rsid w:val="5B3278EE"/>
    <w:rsid w:val="62EF0B51"/>
    <w:rsid w:val="6B675071"/>
    <w:rsid w:val="6E317349"/>
    <w:rsid w:val="74570C7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rPr>
      <w:rFonts w:ascii="Calibri" w:hAnsi="Calibri" w:eastAsia="宋体" w:cs="Calibri"/>
      <w:sz w:val="21"/>
      <w:szCs w:val="21"/>
    </w:rPr>
  </w:style>
  <w:style w:type="character" w:customStyle="1" w:styleId="9">
    <w:name w:val="批注框文本 Char"/>
    <w:basedOn w:val="7"/>
    <w:link w:val="3"/>
    <w:semiHidden/>
    <w:qFormat/>
    <w:locked/>
    <w:uiPriority w:val="99"/>
    <w:rPr>
      <w:rFonts w:ascii="Calibri" w:hAnsi="Calibri" w:eastAsia="宋体" w:cs="Calibri"/>
      <w:sz w:val="18"/>
      <w:szCs w:val="18"/>
    </w:rPr>
  </w:style>
  <w:style w:type="character" w:customStyle="1" w:styleId="10">
    <w:name w:val="页脚 Char"/>
    <w:basedOn w:val="7"/>
    <w:link w:val="4"/>
    <w:qFormat/>
    <w:locked/>
    <w:uiPriority w:val="0"/>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414</Words>
  <Characters>2365</Characters>
  <Lines>19</Lines>
  <Paragraphs>5</Paragraphs>
  <TotalTime>18</TotalTime>
  <ScaleCrop>false</ScaleCrop>
  <LinksUpToDate>false</LinksUpToDate>
  <CharactersWithSpaces>2774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2022-03-17T07:55:00Z</dcterms:created>
  <dc:creator>Administrator</dc:creator>
  <cp:lastModifiedBy>施婉弘</cp:lastModifiedBy>
  <cp:lastPrinted>2024-01-22T01:44:00Z</cp:lastPrinted>
  <dcterms:modified xsi:type="dcterms:W3CDTF">2024-10-09T03:34:14Z</dcterms:modified>
  <dc:title>晋江市市场监督管理局</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